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4CFF" w:rsidRPr="00693C4E" w:rsidRDefault="00174CFF" w:rsidP="00693C4E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174CFF" w:rsidRPr="00693C4E" w:rsidRDefault="0038554C" w:rsidP="00693C4E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bookmarkStart w:id="0" w:name="_GoBack"/>
      <w:bookmarkEnd w:id="0"/>
      <w:r w:rsidRPr="00693C4E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  <w:r w:rsidRPr="00693C4E">
        <w:rPr>
          <w:rFonts w:ascii="微软雅黑" w:eastAsia="微软雅黑" w:hAnsi="微软雅黑"/>
          <w:b/>
          <w:bCs/>
          <w:color w:val="7030A0"/>
          <w:sz w:val="40"/>
          <w:szCs w:val="40"/>
        </w:rPr>
        <w:t xml:space="preserve">    </w:t>
      </w:r>
      <w:r w:rsidRPr="00693C4E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最高人民检察院</w:t>
      </w:r>
    </w:p>
    <w:p w:rsidR="00174CFF" w:rsidRPr="00693C4E" w:rsidRDefault="0038554C" w:rsidP="00693C4E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693C4E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关于办理敲诈勒索刑事案件适用法律</w:t>
      </w:r>
    </w:p>
    <w:p w:rsidR="00174CFF" w:rsidRPr="00693C4E" w:rsidRDefault="0038554C" w:rsidP="00693C4E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693C4E">
        <w:rPr>
          <w:rFonts w:ascii="微软雅黑" w:eastAsia="微软雅黑" w:hAnsi="微软雅黑"/>
          <w:b/>
          <w:bCs/>
          <w:color w:val="7030A0"/>
          <w:sz w:val="40"/>
          <w:szCs w:val="40"/>
        </w:rPr>
        <w:t>若干问题的解释</w:t>
      </w:r>
    </w:p>
    <w:p w:rsidR="00174CFF" w:rsidRDefault="00174CFF" w:rsidP="00693C4E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693C4E" w:rsidRDefault="00693C4E" w:rsidP="00693C4E">
      <w:pPr>
        <w:pStyle w:val="ab"/>
        <w:spacing w:line="28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013-04-27</w:t>
      </w:r>
    </w:p>
    <w:p w:rsidR="00693C4E" w:rsidRPr="00693C4E" w:rsidRDefault="00693C4E" w:rsidP="00693C4E">
      <w:pPr>
        <w:pStyle w:val="ab"/>
        <w:spacing w:line="28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174CFF" w:rsidRPr="00693C4E" w:rsidRDefault="0038554C" w:rsidP="00693C4E">
      <w:pPr>
        <w:pStyle w:val="af2"/>
        <w:spacing w:line="280" w:lineRule="exact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/>
          <w:sz w:val="24"/>
          <w:szCs w:val="24"/>
        </w:rPr>
        <w:t>法释〔</w:t>
      </w:r>
      <w:r w:rsidRPr="00693C4E">
        <w:rPr>
          <w:rFonts w:ascii="微软雅黑" w:eastAsia="微软雅黑" w:hAnsi="微软雅黑"/>
          <w:sz w:val="24"/>
          <w:szCs w:val="24"/>
        </w:rPr>
        <w:t>2013</w:t>
      </w:r>
      <w:r w:rsidRPr="00693C4E">
        <w:rPr>
          <w:rFonts w:ascii="微软雅黑" w:eastAsia="微软雅黑" w:hAnsi="微软雅黑"/>
          <w:sz w:val="24"/>
          <w:szCs w:val="24"/>
        </w:rPr>
        <w:t>〕</w:t>
      </w:r>
      <w:r w:rsidRPr="00693C4E">
        <w:rPr>
          <w:rFonts w:ascii="微软雅黑" w:eastAsia="微软雅黑" w:hAnsi="微软雅黑"/>
          <w:sz w:val="24"/>
          <w:szCs w:val="24"/>
        </w:rPr>
        <w:t>10</w:t>
      </w:r>
      <w:r w:rsidRPr="00693C4E">
        <w:rPr>
          <w:rFonts w:ascii="微软雅黑" w:eastAsia="微软雅黑" w:hAnsi="微软雅黑"/>
          <w:sz w:val="24"/>
          <w:szCs w:val="24"/>
        </w:rPr>
        <w:t>号</w:t>
      </w:r>
    </w:p>
    <w:p w:rsidR="00174CFF" w:rsidRPr="00693C4E" w:rsidRDefault="00174CFF" w:rsidP="00693C4E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174CFF" w:rsidRPr="00693C4E" w:rsidRDefault="0038554C" w:rsidP="00693C4E">
      <w:pPr>
        <w:pStyle w:val="af0"/>
        <w:spacing w:line="280" w:lineRule="exact"/>
        <w:ind w:leftChars="200" w:left="420" w:rightChars="200" w:right="420" w:firstLineChars="200" w:firstLine="440"/>
        <w:rPr>
          <w:rFonts w:ascii="微软雅黑" w:eastAsia="微软雅黑" w:hAnsi="微软雅黑"/>
          <w:sz w:val="22"/>
          <w:szCs w:val="22"/>
        </w:rPr>
      </w:pPr>
      <w:r w:rsidRPr="00693C4E">
        <w:rPr>
          <w:rFonts w:ascii="微软雅黑" w:eastAsia="微软雅黑" w:hAnsi="微软雅黑" w:hint="eastAsia"/>
          <w:sz w:val="22"/>
          <w:szCs w:val="22"/>
        </w:rPr>
        <w:t>（</w:t>
      </w:r>
      <w:r w:rsidRPr="00693C4E">
        <w:rPr>
          <w:rFonts w:ascii="微软雅黑" w:eastAsia="微软雅黑" w:hAnsi="微软雅黑"/>
          <w:sz w:val="22"/>
          <w:szCs w:val="22"/>
        </w:rPr>
        <w:t>2013</w:t>
      </w:r>
      <w:r w:rsidRPr="00693C4E">
        <w:rPr>
          <w:rFonts w:ascii="微软雅黑" w:eastAsia="微软雅黑" w:hAnsi="微软雅黑"/>
          <w:sz w:val="22"/>
          <w:szCs w:val="22"/>
        </w:rPr>
        <w:t>年</w:t>
      </w:r>
      <w:r w:rsidRPr="00693C4E">
        <w:rPr>
          <w:rFonts w:ascii="微软雅黑" w:eastAsia="微软雅黑" w:hAnsi="微软雅黑"/>
          <w:sz w:val="22"/>
          <w:szCs w:val="22"/>
        </w:rPr>
        <w:t>4</w:t>
      </w:r>
      <w:r w:rsidRPr="00693C4E">
        <w:rPr>
          <w:rFonts w:ascii="微软雅黑" w:eastAsia="微软雅黑" w:hAnsi="微软雅黑"/>
          <w:sz w:val="22"/>
          <w:szCs w:val="22"/>
        </w:rPr>
        <w:t>月</w:t>
      </w:r>
      <w:r w:rsidRPr="00693C4E">
        <w:rPr>
          <w:rFonts w:ascii="微软雅黑" w:eastAsia="微软雅黑" w:hAnsi="微软雅黑"/>
          <w:sz w:val="22"/>
          <w:szCs w:val="22"/>
        </w:rPr>
        <w:t>15</w:t>
      </w:r>
      <w:r w:rsidRPr="00693C4E">
        <w:rPr>
          <w:rFonts w:ascii="微软雅黑" w:eastAsia="微软雅黑" w:hAnsi="微软雅黑"/>
          <w:sz w:val="22"/>
          <w:szCs w:val="22"/>
        </w:rPr>
        <w:t>日最高人民法院审判委员会第</w:t>
      </w:r>
      <w:r w:rsidRPr="00693C4E">
        <w:rPr>
          <w:rFonts w:ascii="微软雅黑" w:eastAsia="微软雅黑" w:hAnsi="微软雅黑"/>
          <w:sz w:val="22"/>
          <w:szCs w:val="22"/>
        </w:rPr>
        <w:t>1575</w:t>
      </w:r>
      <w:r w:rsidRPr="00693C4E">
        <w:rPr>
          <w:rFonts w:ascii="微软雅黑" w:eastAsia="微软雅黑" w:hAnsi="微软雅黑"/>
          <w:sz w:val="22"/>
          <w:szCs w:val="22"/>
        </w:rPr>
        <w:t>次会议、</w:t>
      </w:r>
      <w:r w:rsidRPr="00693C4E">
        <w:rPr>
          <w:rFonts w:ascii="微软雅黑" w:eastAsia="微软雅黑" w:hAnsi="微软雅黑"/>
          <w:sz w:val="22"/>
          <w:szCs w:val="22"/>
        </w:rPr>
        <w:t>2013</w:t>
      </w:r>
      <w:r w:rsidRPr="00693C4E">
        <w:rPr>
          <w:rFonts w:ascii="微软雅黑" w:eastAsia="微软雅黑" w:hAnsi="微软雅黑"/>
          <w:sz w:val="22"/>
          <w:szCs w:val="22"/>
        </w:rPr>
        <w:t>年</w:t>
      </w:r>
      <w:r w:rsidRPr="00693C4E">
        <w:rPr>
          <w:rFonts w:ascii="微软雅黑" w:eastAsia="微软雅黑" w:hAnsi="微软雅黑"/>
          <w:sz w:val="22"/>
          <w:szCs w:val="22"/>
        </w:rPr>
        <w:t>4</w:t>
      </w:r>
      <w:r w:rsidRPr="00693C4E">
        <w:rPr>
          <w:rFonts w:ascii="微软雅黑" w:eastAsia="微软雅黑" w:hAnsi="微软雅黑"/>
          <w:sz w:val="22"/>
          <w:szCs w:val="22"/>
        </w:rPr>
        <w:t>月</w:t>
      </w:r>
      <w:r w:rsidRPr="00693C4E">
        <w:rPr>
          <w:rFonts w:ascii="微软雅黑" w:eastAsia="微软雅黑" w:hAnsi="微软雅黑"/>
          <w:sz w:val="22"/>
          <w:szCs w:val="22"/>
        </w:rPr>
        <w:t>1</w:t>
      </w:r>
      <w:r w:rsidRPr="00693C4E">
        <w:rPr>
          <w:rFonts w:ascii="微软雅黑" w:eastAsia="微软雅黑" w:hAnsi="微软雅黑"/>
          <w:sz w:val="22"/>
          <w:szCs w:val="22"/>
        </w:rPr>
        <w:t>日最高人民检察院第十二届检察委员会第</w:t>
      </w:r>
      <w:r w:rsidRPr="00693C4E">
        <w:rPr>
          <w:rFonts w:ascii="微软雅黑" w:eastAsia="微软雅黑" w:hAnsi="微软雅黑"/>
          <w:sz w:val="22"/>
          <w:szCs w:val="22"/>
        </w:rPr>
        <w:t>2</w:t>
      </w:r>
      <w:r w:rsidRPr="00693C4E">
        <w:rPr>
          <w:rFonts w:ascii="微软雅黑" w:eastAsia="微软雅黑" w:hAnsi="微软雅黑"/>
          <w:sz w:val="22"/>
          <w:szCs w:val="22"/>
        </w:rPr>
        <w:t xml:space="preserve">次会议通过　</w:t>
      </w:r>
      <w:r w:rsidRPr="00693C4E">
        <w:rPr>
          <w:rFonts w:ascii="微软雅黑" w:eastAsia="微软雅黑" w:hAnsi="微软雅黑"/>
          <w:sz w:val="22"/>
          <w:szCs w:val="22"/>
        </w:rPr>
        <w:t>2013</w:t>
      </w:r>
      <w:r w:rsidRPr="00693C4E">
        <w:rPr>
          <w:rFonts w:ascii="微软雅黑" w:eastAsia="微软雅黑" w:hAnsi="微软雅黑"/>
          <w:sz w:val="22"/>
          <w:szCs w:val="22"/>
        </w:rPr>
        <w:t>年</w:t>
      </w:r>
      <w:r w:rsidRPr="00693C4E">
        <w:rPr>
          <w:rFonts w:ascii="微软雅黑" w:eastAsia="微软雅黑" w:hAnsi="微软雅黑"/>
          <w:sz w:val="22"/>
          <w:szCs w:val="22"/>
        </w:rPr>
        <w:t>4</w:t>
      </w:r>
      <w:r w:rsidRPr="00693C4E">
        <w:rPr>
          <w:rFonts w:ascii="微软雅黑" w:eastAsia="微软雅黑" w:hAnsi="微软雅黑"/>
          <w:sz w:val="22"/>
          <w:szCs w:val="22"/>
        </w:rPr>
        <w:t>月</w:t>
      </w:r>
      <w:r w:rsidRPr="00693C4E">
        <w:rPr>
          <w:rFonts w:ascii="微软雅黑" w:eastAsia="微软雅黑" w:hAnsi="微软雅黑"/>
          <w:sz w:val="22"/>
          <w:szCs w:val="22"/>
        </w:rPr>
        <w:t>23</w:t>
      </w:r>
      <w:r w:rsidRPr="00693C4E">
        <w:rPr>
          <w:rFonts w:ascii="微软雅黑" w:eastAsia="微软雅黑" w:hAnsi="微软雅黑"/>
          <w:sz w:val="22"/>
          <w:szCs w:val="22"/>
        </w:rPr>
        <w:t>日最高人民法院、最高人民检察院公告公布　自</w:t>
      </w:r>
      <w:r w:rsidRPr="00693C4E">
        <w:rPr>
          <w:rFonts w:ascii="微软雅黑" w:eastAsia="微软雅黑" w:hAnsi="微软雅黑"/>
          <w:sz w:val="22"/>
          <w:szCs w:val="22"/>
        </w:rPr>
        <w:t>2013</w:t>
      </w:r>
      <w:r w:rsidRPr="00693C4E">
        <w:rPr>
          <w:rFonts w:ascii="微软雅黑" w:eastAsia="微软雅黑" w:hAnsi="微软雅黑"/>
          <w:sz w:val="22"/>
          <w:szCs w:val="22"/>
        </w:rPr>
        <w:t>年</w:t>
      </w:r>
      <w:r w:rsidRPr="00693C4E">
        <w:rPr>
          <w:rFonts w:ascii="微软雅黑" w:eastAsia="微软雅黑" w:hAnsi="微软雅黑"/>
          <w:sz w:val="22"/>
          <w:szCs w:val="22"/>
        </w:rPr>
        <w:t>4</w:t>
      </w:r>
      <w:r w:rsidRPr="00693C4E">
        <w:rPr>
          <w:rFonts w:ascii="微软雅黑" w:eastAsia="微软雅黑" w:hAnsi="微软雅黑"/>
          <w:sz w:val="22"/>
          <w:szCs w:val="22"/>
        </w:rPr>
        <w:t>月</w:t>
      </w:r>
      <w:r w:rsidRPr="00693C4E">
        <w:rPr>
          <w:rFonts w:ascii="微软雅黑" w:eastAsia="微软雅黑" w:hAnsi="微软雅黑"/>
          <w:sz w:val="22"/>
          <w:szCs w:val="22"/>
        </w:rPr>
        <w:t>27</w:t>
      </w:r>
      <w:r w:rsidRPr="00693C4E">
        <w:rPr>
          <w:rFonts w:ascii="微软雅黑" w:eastAsia="微软雅黑" w:hAnsi="微软雅黑"/>
          <w:sz w:val="22"/>
          <w:szCs w:val="22"/>
        </w:rPr>
        <w:t>日起施行</w:t>
      </w:r>
      <w:r w:rsidRPr="00693C4E">
        <w:rPr>
          <w:rFonts w:ascii="微软雅黑" w:eastAsia="微软雅黑" w:hAnsi="微软雅黑" w:hint="eastAsia"/>
          <w:sz w:val="22"/>
          <w:szCs w:val="22"/>
        </w:rPr>
        <w:t>）</w:t>
      </w:r>
    </w:p>
    <w:p w:rsidR="00174CFF" w:rsidRPr="00693C4E" w:rsidRDefault="00174CFF" w:rsidP="00693C4E">
      <w:pPr>
        <w:pStyle w:val="ab"/>
        <w:spacing w:line="28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/>
          <w:sz w:val="24"/>
          <w:szCs w:val="24"/>
        </w:rPr>
        <w:t>为依法惩治敲诈勒索犯罪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保护公私财产权利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根据《中华人民共和国刑法》、《中华人民共和国刑事诉讼法》的有关规定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现就办理敲诈勒索刑事案件适用法律的若干问题解释如下：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第一条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敲诈勒索公私财物价值二千元至五千元以上、三万元至十万元以上、三十万元至五十万元以上的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应当分别认定为刑法第二百七十四条规定</w:t>
      </w:r>
      <w:r w:rsidRPr="00693C4E">
        <w:rPr>
          <w:rFonts w:ascii="微软雅黑" w:eastAsia="微软雅黑" w:hAnsi="微软雅黑"/>
          <w:sz w:val="24"/>
          <w:szCs w:val="24"/>
        </w:rPr>
        <w:t>的</w:t>
      </w:r>
      <w:r w:rsidRPr="00693C4E">
        <w:rPr>
          <w:rFonts w:ascii="微软雅黑" w:eastAsia="微软雅黑" w:hAnsi="微软雅黑" w:hint="eastAsia"/>
          <w:sz w:val="24"/>
          <w:szCs w:val="24"/>
        </w:rPr>
        <w:t>“数额较大”、“数额巨大”、“数额特别巨大”。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各省、自治区、直辖市高级人民法院、人民检察院可以根据本地区经济发展状况和社会治安状况，在前款规定的数额幅度内，共同研究确定本地区执行的具体数额标准，报最高人民法院、最高人民检察院批准。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第二条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敲诈勒索公私财物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具有下列情形之一的</w:t>
      </w:r>
      <w:r w:rsidRPr="00693C4E">
        <w:rPr>
          <w:rFonts w:ascii="微软雅黑" w:eastAsia="微软雅黑" w:hAnsi="微软雅黑" w:hint="eastAsia"/>
          <w:sz w:val="24"/>
          <w:szCs w:val="24"/>
        </w:rPr>
        <w:t>，“</w:t>
      </w:r>
      <w:r w:rsidRPr="00693C4E">
        <w:rPr>
          <w:rFonts w:ascii="微软雅黑" w:eastAsia="微软雅黑" w:hAnsi="微软雅黑"/>
          <w:sz w:val="24"/>
          <w:szCs w:val="24"/>
        </w:rPr>
        <w:t>数额较大</w:t>
      </w:r>
      <w:r w:rsidRPr="00693C4E">
        <w:rPr>
          <w:rFonts w:ascii="微软雅黑" w:eastAsia="微软雅黑" w:hAnsi="微软雅黑"/>
          <w:sz w:val="24"/>
          <w:szCs w:val="24"/>
        </w:rPr>
        <w:t>”</w:t>
      </w:r>
      <w:r w:rsidRPr="00693C4E">
        <w:rPr>
          <w:rFonts w:ascii="微软雅黑" w:eastAsia="微软雅黑" w:hAnsi="微软雅黑"/>
          <w:sz w:val="24"/>
          <w:szCs w:val="24"/>
        </w:rPr>
        <w:t>的标准可以按照本解释第一条规定标准的百分之五十确定：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一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曾因敲诈勒索受过刑事处罚的；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二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一年内曾因敲诈勒索受过行政处罚的；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三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对未成年人、残疾人、老年人或者丧失劳动能力人敲诈勒索的</w:t>
      </w:r>
      <w:r w:rsidRPr="00693C4E">
        <w:rPr>
          <w:rFonts w:ascii="微软雅黑" w:eastAsia="微软雅黑" w:hAnsi="微软雅黑" w:hint="eastAsia"/>
          <w:sz w:val="24"/>
          <w:szCs w:val="24"/>
        </w:rPr>
        <w:t>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 w:hint="eastAsia"/>
          <w:sz w:val="24"/>
          <w:szCs w:val="24"/>
        </w:rPr>
        <w:t>四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 w:hint="eastAsia"/>
          <w:sz w:val="24"/>
          <w:szCs w:val="24"/>
        </w:rPr>
        <w:t>以将要实施放火、爆炸等危害公共安全犯罪或者故意杀人、绑架等严重侵犯公民人身权利犯罪相威胁敲诈勒索的；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 w:hint="eastAsia"/>
          <w:sz w:val="24"/>
          <w:szCs w:val="24"/>
        </w:rPr>
        <w:t>五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 w:hint="eastAsia"/>
          <w:sz w:val="24"/>
          <w:szCs w:val="24"/>
        </w:rPr>
        <w:t>以黑恶势力名义敲诈勒索的；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 w:hint="eastAsia"/>
          <w:sz w:val="24"/>
          <w:szCs w:val="24"/>
        </w:rPr>
        <w:t>六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 w:hint="eastAsia"/>
          <w:sz w:val="24"/>
          <w:szCs w:val="24"/>
        </w:rPr>
        <w:t>利用或者冒充国家机关工作人员、军人、新闻工作者等特殊身份敲诈勒索的；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 w:hint="eastAsia"/>
          <w:sz w:val="24"/>
          <w:szCs w:val="24"/>
        </w:rPr>
        <w:t>七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 w:hint="eastAsia"/>
          <w:sz w:val="24"/>
          <w:szCs w:val="24"/>
        </w:rPr>
        <w:t>造成其他严重后果的。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第三条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二年内敲诈勒索三次以上的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应当认定为刑法第二百七十四条规定的</w:t>
      </w:r>
      <w:r w:rsidRPr="00693C4E">
        <w:rPr>
          <w:rFonts w:ascii="微软雅黑" w:eastAsia="微软雅黑" w:hAnsi="微软雅黑"/>
          <w:sz w:val="24"/>
          <w:szCs w:val="24"/>
        </w:rPr>
        <w:t>“</w:t>
      </w:r>
      <w:r w:rsidRPr="00693C4E">
        <w:rPr>
          <w:rFonts w:ascii="微软雅黑" w:eastAsia="微软雅黑" w:hAnsi="微软雅黑"/>
          <w:sz w:val="24"/>
          <w:szCs w:val="24"/>
        </w:rPr>
        <w:t>多次敲诈勒索</w:t>
      </w:r>
      <w:r w:rsidRPr="00693C4E">
        <w:rPr>
          <w:rFonts w:ascii="微软雅黑" w:eastAsia="微软雅黑" w:hAnsi="微软雅黑"/>
          <w:sz w:val="24"/>
          <w:szCs w:val="24"/>
        </w:rPr>
        <w:t>”</w:t>
      </w:r>
      <w:r w:rsidRPr="00693C4E">
        <w:rPr>
          <w:rFonts w:ascii="微软雅黑" w:eastAsia="微软雅黑" w:hAnsi="微软雅黑"/>
          <w:sz w:val="24"/>
          <w:szCs w:val="24"/>
        </w:rPr>
        <w:t>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第四条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敲诈勒索公私财物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具有本解释第二条第三项至第七项规定的情形之一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数额达到本解释第一条规定的</w:t>
      </w:r>
      <w:r w:rsidRPr="00693C4E">
        <w:rPr>
          <w:rFonts w:ascii="微软雅黑" w:eastAsia="微软雅黑" w:hAnsi="微软雅黑"/>
          <w:sz w:val="24"/>
          <w:szCs w:val="24"/>
        </w:rPr>
        <w:t>“</w:t>
      </w:r>
      <w:r w:rsidRPr="00693C4E">
        <w:rPr>
          <w:rFonts w:ascii="微软雅黑" w:eastAsia="微软雅黑" w:hAnsi="微软雅黑"/>
          <w:sz w:val="24"/>
          <w:szCs w:val="24"/>
        </w:rPr>
        <w:t>数额巨大</w:t>
      </w:r>
      <w:r w:rsidRPr="00693C4E">
        <w:rPr>
          <w:rFonts w:ascii="微软雅黑" w:eastAsia="微软雅黑" w:hAnsi="微软雅黑"/>
          <w:sz w:val="24"/>
          <w:szCs w:val="24"/>
        </w:rPr>
        <w:t>”</w:t>
      </w:r>
      <w:r w:rsidRPr="00693C4E">
        <w:rPr>
          <w:rFonts w:ascii="微软雅黑" w:eastAsia="微软雅黑" w:hAnsi="微软雅黑"/>
          <w:sz w:val="24"/>
          <w:szCs w:val="24"/>
        </w:rPr>
        <w:t>、</w:t>
      </w:r>
      <w:r w:rsidRPr="00693C4E">
        <w:rPr>
          <w:rFonts w:ascii="微软雅黑" w:eastAsia="微软雅黑" w:hAnsi="微软雅黑"/>
          <w:sz w:val="24"/>
          <w:szCs w:val="24"/>
        </w:rPr>
        <w:t>“</w:t>
      </w:r>
      <w:r w:rsidRPr="00693C4E">
        <w:rPr>
          <w:rFonts w:ascii="微软雅黑" w:eastAsia="微软雅黑" w:hAnsi="微软雅黑"/>
          <w:sz w:val="24"/>
          <w:szCs w:val="24"/>
        </w:rPr>
        <w:t>数额特</w:t>
      </w:r>
      <w:r w:rsidRPr="00693C4E">
        <w:rPr>
          <w:rFonts w:ascii="微软雅黑" w:eastAsia="微软雅黑" w:hAnsi="微软雅黑" w:hint="eastAsia"/>
          <w:sz w:val="24"/>
          <w:szCs w:val="24"/>
        </w:rPr>
        <w:t>别巨大”百分之八十的，可以分别认定为刑法第二百七十四条规定的“其他严重情节”、“其他特别严重情节”。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第五条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敲诈勒索数额较大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行为人认罪、悔罪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退赃、退赔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并具有下列情形之一的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可以认定为犯罪情节轻微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不起诉或者免予刑事处罚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由有关部门依法予以行政处罚：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一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具有法定从宽处罚情节的；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二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没有参与分赃或者获赃较少且不是主犯的；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三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被害人谅解的；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/>
          <w:sz w:val="24"/>
          <w:szCs w:val="24"/>
        </w:rPr>
        <w:t>四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其他情节轻微、危害不大的。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第六条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敲诈勒索近亲属的财物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获得谅解的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一般不认为是犯罪；认定为</w:t>
      </w:r>
      <w:r w:rsidRPr="00693C4E">
        <w:rPr>
          <w:rFonts w:ascii="微软雅黑" w:eastAsia="微软雅黑" w:hAnsi="微软雅黑" w:hint="eastAsia"/>
          <w:sz w:val="24"/>
          <w:szCs w:val="24"/>
        </w:rPr>
        <w:t>犯罪的</w:t>
      </w:r>
      <w:r w:rsidRPr="00693C4E">
        <w:rPr>
          <w:rFonts w:ascii="微软雅黑" w:eastAsia="微软雅黑" w:hAnsi="微软雅黑" w:hint="eastAsia"/>
          <w:sz w:val="24"/>
          <w:szCs w:val="24"/>
        </w:rPr>
        <w:t>，应当酌情从宽处理。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Fonts w:ascii="微软雅黑" w:eastAsia="微软雅黑" w:hAnsi="微软雅黑" w:hint="eastAsia"/>
          <w:sz w:val="24"/>
          <w:szCs w:val="24"/>
        </w:rPr>
        <w:t>被害人对敲诈勒索的发生存在过错的，根据被害人过错程度和案件其他情况，可以对行为人酌情从宽处理；情节显著轻微危害不大的，不认为是犯罪。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第七条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明知他人实施敲诈勒索犯罪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为其提供信用卡、手机卡、通讯工具、通讯传输通道、网络技术支持等帮助的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以共同犯罪论处。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Style w:val="af7"/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第八条</w:t>
      </w:r>
      <w:r w:rsidRPr="00693C4E">
        <w:rPr>
          <w:rFonts w:ascii="微软雅黑" w:eastAsia="微软雅黑" w:hAnsi="微软雅黑"/>
          <w:sz w:val="24"/>
          <w:szCs w:val="24"/>
        </w:rPr>
        <w:t xml:space="preserve">　对犯敲诈勒索罪的被告人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应当在二千元以上、敲诈勒索数额的二倍以下判处罚金；被告人没有获得财物的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应当在二千元以上十万元以下判处罚金。</w:t>
      </w:r>
    </w:p>
    <w:p w:rsidR="00174CFF" w:rsidRPr="00693C4E" w:rsidRDefault="0038554C" w:rsidP="00693C4E">
      <w:pPr>
        <w:pStyle w:val="ab"/>
        <w:spacing w:line="28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693C4E">
        <w:rPr>
          <w:rStyle w:val="af7"/>
          <w:rFonts w:ascii="微软雅黑" w:eastAsia="微软雅黑" w:hAnsi="微软雅黑"/>
          <w:b/>
          <w:bCs/>
          <w:sz w:val="24"/>
          <w:szCs w:val="24"/>
        </w:rPr>
        <w:t>第九条</w:t>
      </w:r>
      <w:r w:rsidRPr="00693C4E">
        <w:rPr>
          <w:rFonts w:ascii="微软雅黑" w:eastAsia="微软雅黑" w:hAnsi="微软雅黑" w:hint="eastAsia"/>
          <w:sz w:val="24"/>
          <w:szCs w:val="24"/>
        </w:rPr>
        <w:t xml:space="preserve">　本解释公布施行后，《最高人民法院关于敲诈勒索罪数额认定标准问题的规定》</w:t>
      </w:r>
      <w:r w:rsidRPr="00693C4E">
        <w:rPr>
          <w:rFonts w:ascii="微软雅黑" w:eastAsia="微软雅黑" w:hAnsi="微软雅黑" w:hint="eastAsia"/>
          <w:sz w:val="24"/>
          <w:szCs w:val="24"/>
        </w:rPr>
        <w:t>（</w:t>
      </w:r>
      <w:r w:rsidRPr="00693C4E">
        <w:rPr>
          <w:rFonts w:ascii="微软雅黑" w:eastAsia="微软雅黑" w:hAnsi="微软雅黑" w:hint="eastAsia"/>
          <w:sz w:val="24"/>
          <w:szCs w:val="24"/>
        </w:rPr>
        <w:t>法释〔</w:t>
      </w:r>
      <w:r w:rsidRPr="00693C4E">
        <w:rPr>
          <w:rFonts w:ascii="微软雅黑" w:eastAsia="微软雅黑" w:hAnsi="微软雅黑"/>
          <w:sz w:val="24"/>
          <w:szCs w:val="24"/>
        </w:rPr>
        <w:t>200</w:t>
      </w:r>
      <w:r w:rsidRPr="00693C4E">
        <w:rPr>
          <w:rFonts w:ascii="微软雅黑" w:eastAsia="微软雅黑" w:hAnsi="微软雅黑"/>
          <w:sz w:val="24"/>
          <w:szCs w:val="24"/>
        </w:rPr>
        <w:t>0</w:t>
      </w:r>
      <w:r w:rsidRPr="00693C4E">
        <w:rPr>
          <w:rFonts w:ascii="微软雅黑" w:eastAsia="微软雅黑" w:hAnsi="微软雅黑"/>
          <w:sz w:val="24"/>
          <w:szCs w:val="24"/>
        </w:rPr>
        <w:t>〕</w:t>
      </w:r>
      <w:r w:rsidRPr="00693C4E">
        <w:rPr>
          <w:rFonts w:ascii="微软雅黑" w:eastAsia="微软雅黑" w:hAnsi="微软雅黑"/>
          <w:sz w:val="24"/>
          <w:szCs w:val="24"/>
        </w:rPr>
        <w:t>11</w:t>
      </w:r>
      <w:r w:rsidRPr="00693C4E">
        <w:rPr>
          <w:rFonts w:ascii="微软雅黑" w:eastAsia="微软雅黑" w:hAnsi="微软雅黑"/>
          <w:sz w:val="24"/>
          <w:szCs w:val="24"/>
        </w:rPr>
        <w:t>号</w:t>
      </w:r>
      <w:r w:rsidRPr="00693C4E">
        <w:rPr>
          <w:rFonts w:ascii="微软雅黑" w:eastAsia="微软雅黑" w:hAnsi="微软雅黑" w:hint="eastAsia"/>
          <w:sz w:val="24"/>
          <w:szCs w:val="24"/>
        </w:rPr>
        <w:t>）</w:t>
      </w:r>
      <w:r w:rsidRPr="00693C4E">
        <w:rPr>
          <w:rFonts w:ascii="微软雅黑" w:eastAsia="微软雅黑" w:hAnsi="微软雅黑"/>
          <w:sz w:val="24"/>
          <w:szCs w:val="24"/>
        </w:rPr>
        <w:t>同时废止；此前发布的司法解释与本解释不一致的</w:t>
      </w:r>
      <w:r w:rsidRPr="00693C4E">
        <w:rPr>
          <w:rFonts w:ascii="微软雅黑" w:eastAsia="微软雅黑" w:hAnsi="微软雅黑" w:hint="eastAsia"/>
          <w:sz w:val="24"/>
          <w:szCs w:val="24"/>
        </w:rPr>
        <w:t>，</w:t>
      </w:r>
      <w:r w:rsidRPr="00693C4E">
        <w:rPr>
          <w:rFonts w:ascii="微软雅黑" w:eastAsia="微软雅黑" w:hAnsi="微软雅黑"/>
          <w:sz w:val="24"/>
          <w:szCs w:val="24"/>
        </w:rPr>
        <w:t>以本解释为准。</w:t>
      </w:r>
    </w:p>
    <w:sectPr w:rsidR="00174CFF" w:rsidRPr="00693C4E" w:rsidSect="00693C4E">
      <w:footerReference w:type="even" r:id="rId7"/>
      <w:footerReference w:type="default" r:id="rId8"/>
      <w:pgSz w:w="11906" w:h="16838"/>
      <w:pgMar w:top="720" w:right="720" w:bottom="720" w:left="720" w:header="283" w:footer="283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554C" w:rsidRDefault="0038554C">
      <w:r>
        <w:separator/>
      </w:r>
    </w:p>
  </w:endnote>
  <w:endnote w:type="continuationSeparator" w:id="0">
    <w:p w:rsidR="0038554C" w:rsidRDefault="0038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CFF" w:rsidRDefault="0038554C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4CFF" w:rsidRDefault="0038554C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174CFF" w:rsidRDefault="0038554C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4CFF" w:rsidRDefault="0038554C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74CFF" w:rsidRDefault="0038554C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7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DmbsUVkAgAAEQ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174CFF" w:rsidRDefault="0038554C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554C" w:rsidRDefault="0038554C">
      <w:r>
        <w:separator/>
      </w:r>
    </w:p>
  </w:footnote>
  <w:footnote w:type="continuationSeparator" w:id="0">
    <w:p w:rsidR="0038554C" w:rsidRDefault="003855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ttachedTemplate r:id="rId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5445A00"/>
    <w:rsid w:val="00174CFF"/>
    <w:rsid w:val="00323D76"/>
    <w:rsid w:val="0038554C"/>
    <w:rsid w:val="00693C4E"/>
    <w:rsid w:val="02380A4E"/>
    <w:rsid w:val="02C54CFB"/>
    <w:rsid w:val="042F174E"/>
    <w:rsid w:val="05445A00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5BE96619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C6041C6"/>
  <w15:docId w15:val="{C24C7719-6528-4ECF-BFC7-9DF77F6AA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pPr>
      <w:ind w:firstLineChars="0" w:firstLine="0"/>
      <w:jc w:val="left"/>
    </w:pPr>
  </w:style>
  <w:style w:type="paragraph" w:customStyle="1" w:styleId="af5">
    <w:name w:val="日期文号"/>
    <w:basedOn w:val="ab"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2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2017-11-01T10:50:00Z</dcterms:created>
  <dcterms:modified xsi:type="dcterms:W3CDTF">2025-11-20T07:51:00Z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